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以色列工作签证材料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以色列工作签证由以色列驻外使领馆发给入境以从事由国家或他人支付报酬的临时性</w:t>
      </w:r>
      <w:bookmarkStart w:id="0" w:name="_GoBack"/>
      <w:r>
        <w:rPr>
          <w:rFonts w:hint="eastAsia" w:ascii="微软雅黑" w:hAnsi="微软雅黑" w:eastAsia="微软雅黑" w:cs="微软雅黑"/>
          <w:b w:val="0"/>
          <w:i w:val="0"/>
          <w:caps w:val="0"/>
          <w:color w:val="222222"/>
          <w:spacing w:val="0"/>
          <w:kern w:val="2"/>
          <w:sz w:val="21"/>
          <w:szCs w:val="21"/>
          <w:lang w:val="en-US" w:eastAsia="zh-CN" w:bidi="ar-SA"/>
        </w:rPr>
        <w:t>职业活动 者。持工作签证者仅可从事与办理该签证目的一致的职业活动，以下是以色列工</w:t>
      </w:r>
      <w:bookmarkEnd w:id="0"/>
      <w:r>
        <w:rPr>
          <w:rFonts w:hint="eastAsia" w:ascii="微软雅黑" w:hAnsi="微软雅黑" w:eastAsia="微软雅黑" w:cs="微软雅黑"/>
          <w:b w:val="0"/>
          <w:i w:val="0"/>
          <w:caps w:val="0"/>
          <w:color w:val="222222"/>
          <w:spacing w:val="0"/>
          <w:kern w:val="2"/>
          <w:sz w:val="21"/>
          <w:szCs w:val="21"/>
          <w:lang w:val="en-US" w:eastAsia="zh-CN" w:bidi="ar-SA"/>
        </w:rPr>
        <w:t>作签证所需材料：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签证类型：工作签证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5"/>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278"/>
        <w:gridCol w:w="5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278"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022"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04"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•申请人有效期多于6个月的护照原件，如有旧护照须一并提交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4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•申请人近期白底彩色照片两张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•尺寸5*5cm，</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•一张贴在申请表右上角，另一张反面写上名字，夹在护照里。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6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ascii="Arial" w:hAnsi="Arial" w:eastAsia="宋体" w:cs="Arial"/>
                <w:i w:val="0"/>
                <w:caps w:val="0"/>
                <w:color w:val="404040"/>
                <w:spacing w:val="0"/>
                <w:sz w:val="21"/>
                <w:szCs w:val="21"/>
                <w:shd w:val="clear" w:fill="FFFFFF"/>
              </w:rPr>
              <w:t>出生公证</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申请人的出生公证或出生证公证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12"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tabs>
                <w:tab w:val="left" w:pos="576"/>
              </w:tabs>
              <w:kinsoku/>
              <w:wordWrap/>
              <w:overflowPunct/>
              <w:topLinePunct w:val="0"/>
              <w:autoSpaceDE/>
              <w:autoSpaceDN/>
              <w:bidi w:val="0"/>
              <w:adjustRightInd/>
              <w:snapToGrid w:val="0"/>
              <w:spacing w:before="0" w:beforeAutospacing="0" w:after="0" w:afterAutospacing="0"/>
              <w:ind w:left="0" w:leftChars="0" w:right="0" w:rightChars="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ab/>
            </w:r>
            <w:r>
              <w:rPr>
                <w:rFonts w:hint="eastAsia" w:ascii="微软雅黑" w:hAnsi="微软雅黑" w:eastAsia="微软雅黑" w:cs="微软雅黑"/>
                <w:kern w:val="2"/>
                <w:sz w:val="18"/>
                <w:szCs w:val="18"/>
                <w:lang w:val="en-US" w:eastAsia="zh-CN" w:bidi="ar-SA"/>
              </w:rPr>
              <w:t>其他材料</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ascii="Arial" w:hAnsi="Arial" w:eastAsia="宋体" w:cs="Arial"/>
                <w:i w:val="0"/>
                <w:caps w:val="0"/>
                <w:color w:val="404040"/>
                <w:spacing w:val="0"/>
                <w:sz w:val="21"/>
                <w:szCs w:val="21"/>
                <w:shd w:val="clear" w:fill="FFFFFF"/>
              </w:rPr>
              <w:t>同意索要指纹协议书</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•同意索要指纹协议书（中文、英文各一份）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63"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ascii="Arial" w:hAnsi="Arial" w:eastAsia="宋体" w:cs="Arial"/>
                <w:i w:val="0"/>
                <w:caps w:val="0"/>
                <w:color w:val="404040"/>
                <w:spacing w:val="0"/>
                <w:sz w:val="21"/>
                <w:szCs w:val="21"/>
                <w:shd w:val="clear" w:fill="FFFFFF"/>
              </w:rPr>
              <w:t>声明书</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•用中英文完整填写的关于签证申请人以前是否在以色列工作过及是否有近亲属在以色列工作的声明书一份。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2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ascii="Arial" w:hAnsi="Arial" w:eastAsia="宋体" w:cs="Arial"/>
                <w:i w:val="0"/>
                <w:caps w:val="0"/>
                <w:color w:val="404040"/>
                <w:spacing w:val="0"/>
                <w:sz w:val="21"/>
                <w:szCs w:val="21"/>
                <w:shd w:val="clear" w:fill="FFFFFF"/>
              </w:rPr>
              <w:t>未受刑事处分公证书</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由申请人户口所在地公证处出具的申请人“未受刑事处分公证书”原件一份 ，该公证书签发日期离签证申请日期需在6个月内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ascii="Arial" w:hAnsi="Arial" w:eastAsia="宋体" w:cs="Arial"/>
                <w:i w:val="0"/>
                <w:caps w:val="0"/>
                <w:color w:val="404040"/>
                <w:spacing w:val="0"/>
                <w:sz w:val="21"/>
                <w:szCs w:val="21"/>
                <w:shd w:val="clear" w:fill="FFFFFF"/>
              </w:rPr>
              <w:t>国际旅行健康检查证明书</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w:t>
            </w:r>
            <w:r>
              <w:rPr>
                <w:rFonts w:hint="default" w:ascii="微软雅黑" w:hAnsi="微软雅黑" w:eastAsia="微软雅黑" w:cs="微软雅黑"/>
                <w:kern w:val="2"/>
                <w:sz w:val="18"/>
                <w:szCs w:val="18"/>
                <w:lang w:val="en-US" w:eastAsia="zh-CN" w:bidi="ar-SA"/>
              </w:rPr>
              <w:t>由申请人户口所在地出入境检验检疫部门出具的申请人“国际旅行健康检查证明书”（必须包括但不仅限于肝炎、结核病、爱滋病及血常规）及“国际预防接种证书”(必须包括但不仅限于甲肝苗)，这些证件的签发日期离签证申请日期需在3个月内，并提供原件及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ascii="Arial" w:hAnsi="Arial" w:eastAsia="宋体" w:cs="Arial"/>
                <w:i w:val="0"/>
                <w:caps w:val="0"/>
                <w:color w:val="404040"/>
                <w:spacing w:val="0"/>
                <w:sz w:val="21"/>
                <w:szCs w:val="21"/>
                <w:shd w:val="clear" w:fill="FFFFFF"/>
              </w:rPr>
            </w:pPr>
            <w:r>
              <w:rPr>
                <w:rFonts w:ascii="Arial" w:hAnsi="Arial" w:eastAsia="宋体" w:cs="Arial"/>
                <w:i w:val="0"/>
                <w:caps w:val="0"/>
                <w:color w:val="404040"/>
                <w:spacing w:val="0"/>
                <w:sz w:val="21"/>
                <w:szCs w:val="21"/>
                <w:shd w:val="clear" w:fill="FFFFFF"/>
              </w:rPr>
              <w:t>内务部签证许可</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该文件需由已雇用签证申请人的以色列雇主或公司替签证申请人在以色列境内向以色列内务部申请。以色列</w:t>
            </w:r>
            <w:r>
              <w:rPr>
                <w:rFonts w:hint="eastAsia" w:ascii="微软雅黑" w:hAnsi="微软雅黑" w:eastAsia="微软雅黑" w:cs="微软雅黑"/>
                <w:kern w:val="2"/>
                <w:sz w:val="18"/>
                <w:szCs w:val="18"/>
                <w:lang w:val="en-US" w:eastAsia="zh-CN" w:bidi="ar-SA"/>
              </w:rPr>
              <w:t>雇主可向以色列内务部设在以色列境内各地的办事机构查询签证许可办理事宜。以色列内务部在批准该申请后，签证申请人可获得一份希伯来语批准文件。签证申请人需凭该批文通过电话与领馆签证处联系查询，经领馆确认此文件后需连同以下材料一并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4" w:hRule="atLeast"/>
          <w:jc w:val="center"/>
        </w:trPr>
        <w:tc>
          <w:tcPr>
            <w:tcW w:w="9020" w:type="dxa"/>
            <w:gridSpan w:val="3"/>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bCs/>
                <w:color w:val="0000FF"/>
                <w:kern w:val="2"/>
                <w:sz w:val="18"/>
                <w:szCs w:val="18"/>
                <w:lang w:val="en-US" w:eastAsia="zh-CN" w:bidi="ar-SA"/>
              </w:rPr>
            </w:pPr>
            <w:r>
              <w:rPr>
                <w:rFonts w:ascii="Arial" w:hAnsi="Arial" w:eastAsia="宋体" w:cs="Arial"/>
                <w:b/>
                <w:bCs/>
                <w:i w:val="0"/>
                <w:caps w:val="0"/>
                <w:color w:val="0000FF"/>
                <w:spacing w:val="0"/>
                <w:sz w:val="21"/>
                <w:szCs w:val="21"/>
                <w:shd w:val="clear" w:fill="FFFFFF"/>
              </w:rPr>
              <w:t>如签证许可要求签证申请人提供其它文件，均需以公证书形式递交。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4" w:hRule="atLeast"/>
          <w:jc w:val="center"/>
        </w:trPr>
        <w:tc>
          <w:tcPr>
            <w:tcW w:w="9020" w:type="dxa"/>
            <w:gridSpan w:val="3"/>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bCs/>
                <w:color w:val="0000FF"/>
                <w:kern w:val="2"/>
                <w:sz w:val="18"/>
                <w:szCs w:val="18"/>
                <w:lang w:val="en-US" w:eastAsia="zh-CN" w:bidi="ar-SA"/>
              </w:rPr>
            </w:pPr>
            <w:r>
              <w:rPr>
                <w:rFonts w:ascii="Arial" w:hAnsi="Arial" w:eastAsia="宋体" w:cs="Arial"/>
                <w:b/>
                <w:bCs/>
                <w:i w:val="0"/>
                <w:caps w:val="0"/>
                <w:color w:val="0000FF"/>
                <w:spacing w:val="0"/>
                <w:sz w:val="21"/>
                <w:szCs w:val="21"/>
                <w:shd w:val="clear" w:fill="FFFFFF"/>
              </w:rPr>
              <w:t>工作签申请人须提前向领馆预约面签</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领事有权要求申请人前往使领馆面试或提交补充材料以便对申请作出合理判断。</w:t>
      </w:r>
      <w:r>
        <w:rPr>
          <w:rFonts w:hint="default" w:ascii="微软雅黑" w:hAnsi="微软雅黑" w:eastAsia="微软雅黑" w:cs="微软雅黑"/>
          <w:b w:val="0"/>
          <w:i w:val="0"/>
          <w:caps w:val="0"/>
          <w:color w:val="222222"/>
          <w:spacing w:val="0"/>
          <w:kern w:val="2"/>
          <w:sz w:val="21"/>
          <w:szCs w:val="21"/>
          <w:lang w:val="en-US" w:eastAsia="zh-CN" w:bidi="ar-SA"/>
        </w:rPr>
        <w:t> </w:t>
      </w:r>
      <w:r>
        <w:rPr>
          <w:rFonts w:hint="eastAsia" w:ascii="微软雅黑" w:hAnsi="微软雅黑" w:eastAsia="微软雅黑" w:cs="微软雅黑"/>
          <w:b w:val="0"/>
          <w:i w:val="0"/>
          <w:caps w:val="0"/>
          <w:color w:val="222222"/>
          <w:spacing w:val="0"/>
          <w:kern w:val="2"/>
          <w:sz w:val="21"/>
          <w:szCs w:val="21"/>
          <w:lang w:val="en-US" w:eastAsia="zh-CN" w:bidi="ar-SA"/>
        </w:rPr>
        <w:t>除护照外，签证申请人递交的其它申请材料将由领馆签证处存档保存，不再退回！请签证申请人事先做好复印件，领馆签证处不负责替签证申请人做复印！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请签证申请人在获得以色列签证后在签证有效期之内前往以色列，如在签证有效期内未能成行但仍需前往以色列，签证申请人需重新提交签证申请</w:t>
      </w:r>
      <w:r>
        <w:rPr>
          <w:rFonts w:hint="default" w:ascii="微软雅黑" w:hAnsi="微软雅黑" w:eastAsia="微软雅黑" w:cs="微软雅黑"/>
          <w:b w:val="0"/>
          <w:i w:val="0"/>
          <w:caps w:val="0"/>
          <w:color w:val="222222"/>
          <w:spacing w:val="0"/>
          <w:kern w:val="2"/>
          <w:sz w:val="21"/>
          <w:szCs w:val="21"/>
          <w:lang w:val="en-US" w:eastAsia="zh-CN" w:bidi="ar-SA"/>
        </w:rPr>
        <w:t>(</w:t>
      </w:r>
      <w:r>
        <w:rPr>
          <w:rFonts w:hint="eastAsia" w:ascii="微软雅黑" w:hAnsi="微软雅黑" w:eastAsia="微软雅黑" w:cs="微软雅黑"/>
          <w:b w:val="0"/>
          <w:i w:val="0"/>
          <w:caps w:val="0"/>
          <w:color w:val="222222"/>
          <w:spacing w:val="0"/>
          <w:kern w:val="2"/>
          <w:sz w:val="21"/>
          <w:szCs w:val="21"/>
          <w:lang w:val="en-US" w:eastAsia="zh-CN" w:bidi="ar-SA"/>
        </w:rPr>
        <w:t>手续同上</w:t>
      </w:r>
      <w:r>
        <w:rPr>
          <w:rFonts w:hint="default" w:ascii="微软雅黑" w:hAnsi="微软雅黑" w:eastAsia="微软雅黑" w:cs="微软雅黑"/>
          <w:b w:val="0"/>
          <w:i w:val="0"/>
          <w:caps w:val="0"/>
          <w:color w:val="222222"/>
          <w:spacing w:val="0"/>
          <w:kern w:val="2"/>
          <w:sz w:val="21"/>
          <w:szCs w:val="21"/>
          <w:lang w:val="en-US" w:eastAsia="zh-CN" w:bidi="ar-SA"/>
        </w:rPr>
        <w:t>)</w:t>
      </w:r>
      <w:r>
        <w:rPr>
          <w:rFonts w:hint="eastAsia" w:ascii="微软雅黑" w:hAnsi="微软雅黑" w:eastAsia="微软雅黑" w:cs="微软雅黑"/>
          <w:b w:val="0"/>
          <w:i w:val="0"/>
          <w:caps w:val="0"/>
          <w:color w:val="222222"/>
          <w:spacing w:val="0"/>
          <w:kern w:val="2"/>
          <w:sz w:val="21"/>
          <w:szCs w:val="21"/>
          <w:lang w:val="en-US" w:eastAsia="zh-CN" w:bidi="ar-SA"/>
        </w:rPr>
        <w:t>。</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p>
    <w:p>
      <w:pPr>
        <w:jc w:val="center"/>
        <w:rPr>
          <w:rFonts w:hint="eastAsia"/>
          <w:lang w:val="en-US" w:eastAsia="zh-CN"/>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-351790</wp:posOffset>
          </wp:positionH>
          <wp:positionV relativeFrom="paragraph">
            <wp:posOffset>-154305</wp:posOffset>
          </wp:positionV>
          <wp:extent cx="1152525" cy="714375"/>
          <wp:effectExtent l="0" t="0" r="9525" b="0"/>
          <wp:wrapThrough wrapText="bothSides">
            <wp:wrapPolygon>
              <wp:start x="1428" y="2880"/>
              <wp:lineTo x="0" y="5760"/>
              <wp:lineTo x="0" y="9216"/>
              <wp:lineTo x="1785" y="12096"/>
              <wp:lineTo x="357" y="13248"/>
              <wp:lineTo x="0" y="20160"/>
              <wp:lineTo x="21064" y="20160"/>
              <wp:lineTo x="21421" y="16128"/>
              <wp:lineTo x="21421" y="4032"/>
              <wp:lineTo x="20707" y="3456"/>
              <wp:lineTo x="5355" y="2880"/>
              <wp:lineTo x="1428" y="2880"/>
            </wp:wrapPolygon>
          </wp:wrapThrough>
          <wp:docPr id="2" name="图片 2"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E425EE"/>
    <w:rsid w:val="070522FF"/>
    <w:rsid w:val="44B50CDA"/>
    <w:rsid w:val="4B1C2509"/>
    <w:rsid w:val="6BC06510"/>
    <w:rsid w:val="71265648"/>
    <w:rsid w:val="77E425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2018-12-26T06:36:00Z</dcterms:created>
  <dc:creator>王乾</dc:creator>
  <cp:lastModifiedBy>125签证_王乾</cp:lastModifiedBy>
  <dcterms:modified xsi:type="dcterms:W3CDTF">2019-05-23T10:07:24Z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